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92D" w:rsidRDefault="005A192D" w:rsidP="005A192D">
      <w:pPr>
        <w:autoSpaceDE w:val="0"/>
        <w:autoSpaceDN w:val="0"/>
        <w:adjustRightInd w:val="0"/>
        <w:spacing w:after="0" w:line="240" w:lineRule="auto"/>
        <w:jc w:val="right"/>
        <w:outlineLvl w:val="0"/>
        <w:rPr>
          <w:rFonts w:ascii="Times New Roman" w:hAnsi="Times New Roman" w:cs="Times New Roman"/>
          <w:sz w:val="28"/>
          <w:szCs w:val="28"/>
        </w:rPr>
      </w:pPr>
      <w:bookmarkStart w:id="0" w:name="_GoBack"/>
      <w:bookmarkEnd w:id="0"/>
      <w:r>
        <w:rPr>
          <w:rFonts w:ascii="Times New Roman" w:hAnsi="Times New Roman" w:cs="Times New Roman"/>
          <w:sz w:val="28"/>
          <w:szCs w:val="28"/>
        </w:rPr>
        <w:t>УТВЕРЖДЕНА</w:t>
      </w:r>
    </w:p>
    <w:p w:rsidR="005A192D" w:rsidRDefault="005A192D" w:rsidP="005A19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Постановлением</w:t>
      </w:r>
    </w:p>
    <w:p w:rsidR="005A192D" w:rsidRDefault="005A192D" w:rsidP="005A19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 города</w:t>
      </w:r>
    </w:p>
    <w:p w:rsidR="005A192D" w:rsidRDefault="005A192D" w:rsidP="005A19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Комсомольска-на-Амуре</w:t>
      </w:r>
    </w:p>
    <w:p w:rsidR="005A192D" w:rsidRDefault="005A192D" w:rsidP="005A19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20 декабря 2019 г. № 2907-па</w:t>
      </w:r>
    </w:p>
    <w:p w:rsidR="005A192D" w:rsidRDefault="005A192D" w:rsidP="005A19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ред. от 31.03.2021 № 525-па)</w:t>
      </w:r>
    </w:p>
    <w:p w:rsidR="005A192D" w:rsidRDefault="005A192D" w:rsidP="005A192D">
      <w:pPr>
        <w:autoSpaceDE w:val="0"/>
        <w:autoSpaceDN w:val="0"/>
        <w:adjustRightInd w:val="0"/>
        <w:spacing w:after="0" w:line="240" w:lineRule="auto"/>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МУНИЦИПАЛЬНАЯ ПРОГРАММА</w:t>
      </w:r>
    </w:p>
    <w:p w:rsidR="005A192D" w:rsidRDefault="005A192D" w:rsidP="005A192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«РАЗВИТИЕ КУЛЬТУРЫ В ГОРОДЕ КОМСОМОЛЬСКЕ-НА-АМУРЕ»</w:t>
      </w:r>
    </w:p>
    <w:p w:rsidR="005A192D" w:rsidRDefault="005A192D" w:rsidP="005A192D">
      <w:pPr>
        <w:autoSpaceDE w:val="0"/>
        <w:autoSpaceDN w:val="0"/>
        <w:adjustRightInd w:val="0"/>
        <w:spacing w:after="0" w:line="240" w:lineRule="auto"/>
        <w:rPr>
          <w:rFonts w:ascii="Times New Roman" w:hAnsi="Times New Roman" w:cs="Times New Roman"/>
          <w:sz w:val="24"/>
          <w:szCs w:val="24"/>
        </w:rPr>
      </w:pPr>
    </w:p>
    <w:p w:rsidR="005A192D" w:rsidRDefault="005A192D" w:rsidP="005A192D">
      <w:pPr>
        <w:autoSpaceDE w:val="0"/>
        <w:autoSpaceDN w:val="0"/>
        <w:adjustRightInd w:val="0"/>
        <w:spacing w:after="0" w:line="240" w:lineRule="auto"/>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ПАСПОРТ</w:t>
      </w:r>
    </w:p>
    <w:p w:rsidR="005A192D" w:rsidRDefault="005A192D" w:rsidP="005A192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муниципальной программы </w:t>
      </w:r>
    </w:p>
    <w:p w:rsidR="005A192D" w:rsidRDefault="005A192D" w:rsidP="005A192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«Развитие культуры в городе Комсомольске-на-Амуре»</w:t>
      </w:r>
    </w:p>
    <w:p w:rsidR="005A192D" w:rsidRDefault="005A192D" w:rsidP="005A192D">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30"/>
        <w:gridCol w:w="7371"/>
      </w:tblGrid>
      <w:tr w:rsidR="005A192D" w:rsidTr="005A192D">
        <w:tc>
          <w:tcPr>
            <w:tcW w:w="2330"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Ответственный</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исполнитель</w:t>
            </w:r>
          </w:p>
        </w:tc>
        <w:tc>
          <w:tcPr>
            <w:tcW w:w="7371"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Отдел культуры администрации города Комсомольска-на-Амуре Хабаровского края (далее - отдел культуры)</w:t>
            </w:r>
          </w:p>
        </w:tc>
      </w:tr>
      <w:tr w:rsidR="005A192D" w:rsidTr="005A192D">
        <w:tc>
          <w:tcPr>
            <w:tcW w:w="2330"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Соисполнители, участники</w:t>
            </w:r>
          </w:p>
        </w:tc>
        <w:tc>
          <w:tcPr>
            <w:tcW w:w="7371"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Управление архитектуры и градостроительства администрации города Комсомольска-на-Амуре Хабаровского края (далее - </w:t>
            </w:r>
            <w:proofErr w:type="spellStart"/>
            <w:r>
              <w:rPr>
                <w:rFonts w:ascii="Times New Roman" w:hAnsi="Times New Roman" w:cs="Times New Roman"/>
                <w:sz w:val="28"/>
                <w:szCs w:val="28"/>
              </w:rPr>
              <w:t>УАиГ</w:t>
            </w:r>
            <w:proofErr w:type="spellEnd"/>
            <w:r>
              <w:rPr>
                <w:rFonts w:ascii="Times New Roman" w:hAnsi="Times New Roman" w:cs="Times New Roman"/>
                <w:sz w:val="28"/>
                <w:szCs w:val="28"/>
              </w:rPr>
              <w:t>), Администрация города Комсомольска-на-Амуре Хабаровского края.</w:t>
            </w:r>
          </w:p>
        </w:tc>
      </w:tr>
      <w:tr w:rsidR="005A192D" w:rsidTr="005A192D">
        <w:tc>
          <w:tcPr>
            <w:tcW w:w="2330"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Цель муниципальной программы</w:t>
            </w:r>
          </w:p>
        </w:tc>
        <w:tc>
          <w:tcPr>
            <w:tcW w:w="7371"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удовлетворение потребностей населения города Комсомольск-на-Амуре и его гостей услугами в сфере культуры.</w:t>
            </w:r>
          </w:p>
        </w:tc>
      </w:tr>
      <w:tr w:rsidR="005A192D" w:rsidTr="005A192D">
        <w:tc>
          <w:tcPr>
            <w:tcW w:w="2330"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Задачи муниципальной программы</w:t>
            </w:r>
          </w:p>
        </w:tc>
        <w:tc>
          <w:tcPr>
            <w:tcW w:w="7371" w:type="dxa"/>
          </w:tcPr>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создание условий для реализации каждым человеком его творческого потенциала</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обеспечение гражданам доступа к культурным ценностям</w:t>
            </w:r>
          </w:p>
        </w:tc>
      </w:tr>
      <w:tr w:rsidR="005A192D" w:rsidTr="005A192D">
        <w:tc>
          <w:tcPr>
            <w:tcW w:w="2330"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мероприятия</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муниципальной программы</w:t>
            </w:r>
          </w:p>
        </w:tc>
        <w:tc>
          <w:tcPr>
            <w:tcW w:w="7371"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 Развитие системы дополнительного образования в сфере культуры.</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 Развитие культурно-досугового обслуживания населения</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 Развитие библиотечного дела.</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 Развитие музейного дела.</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 Развитие театрального искусства.</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 Сохранение и популяризация животных, содержащихся в неволе.</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7. 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p>
        </w:tc>
      </w:tr>
      <w:tr w:rsidR="005A192D" w:rsidTr="005A192D">
        <w:tc>
          <w:tcPr>
            <w:tcW w:w="9701" w:type="dxa"/>
            <w:gridSpan w:val="2"/>
          </w:tcPr>
          <w:p w:rsidR="005A192D" w:rsidRDefault="005A192D">
            <w:pPr>
              <w:autoSpaceDE w:val="0"/>
              <w:autoSpaceDN w:val="0"/>
              <w:adjustRightInd w:val="0"/>
              <w:spacing w:after="0" w:line="240" w:lineRule="auto"/>
              <w:jc w:val="both"/>
              <w:rPr>
                <w:rFonts w:ascii="Times New Roman" w:hAnsi="Times New Roman" w:cs="Times New Roman"/>
                <w:sz w:val="28"/>
                <w:szCs w:val="28"/>
              </w:rPr>
            </w:pPr>
          </w:p>
        </w:tc>
      </w:tr>
      <w:tr w:rsidR="005A192D" w:rsidTr="005A192D">
        <w:tc>
          <w:tcPr>
            <w:tcW w:w="2330"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Основной показатель (индикатор)</w:t>
            </w:r>
          </w:p>
        </w:tc>
        <w:tc>
          <w:tcPr>
            <w:tcW w:w="7371" w:type="dxa"/>
          </w:tcPr>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индекс удовлетворенности населения качеством и доступностью услуг в сфере культуры.</w:t>
            </w:r>
          </w:p>
        </w:tc>
      </w:tr>
      <w:tr w:rsidR="005A192D" w:rsidTr="005A192D">
        <w:tc>
          <w:tcPr>
            <w:tcW w:w="2330" w:type="dxa"/>
          </w:tcPr>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Сроки и этапы реализации муниципальной программы</w:t>
            </w:r>
          </w:p>
        </w:tc>
        <w:tc>
          <w:tcPr>
            <w:tcW w:w="7371" w:type="dxa"/>
          </w:tcPr>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2020 - 2024 годы</w:t>
            </w:r>
          </w:p>
        </w:tc>
      </w:tr>
      <w:tr w:rsidR="005A192D" w:rsidTr="005A192D">
        <w:tc>
          <w:tcPr>
            <w:tcW w:w="2330"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Ресурсное обеспечение реализации муниципальной программы</w:t>
            </w:r>
          </w:p>
        </w:tc>
        <w:tc>
          <w:tcPr>
            <w:tcW w:w="7371" w:type="dxa"/>
          </w:tcPr>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Общий объем финансирования Программы (прогнозная справочная оценка) за счет всех источников составляет 2 164 150,82 тыс. руб., в том числе по годам:</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2020 год - 445 160,73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2021 год - 385 722,41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2022 год - 447 718,30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2023 год - 437 265,55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2024 год - 448 283,83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Из них:</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 Местный бюджет - 2 136 508,00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 том числе по годам:</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2020 год - 439 396,92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2021 год - 380 048,60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2022 год - 441 760,80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2023 год - 437 265,55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2024 год - 438 036,13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 Краевой бюджет (по согласованию) - 3 984,18 тыс. руб., в том числе по годам:</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2020 год - 997,81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2021 год - 907,81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2022 год - 893,63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2023 год - 0,00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2024 год - 1 184,93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3. Федеральный бюджет (по согласованию) - 23 658,64 тыс. руб., в том числе по годам:</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2020 год - 4 766,00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2021 год - 4 766,00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2022 год - 5 063,87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2023 год - 0,00 тыс. руб.</w:t>
            </w:r>
          </w:p>
          <w:p w:rsidR="005A192D" w:rsidRDefault="005A192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2024 год - 9 062,77 тыс. руб.</w:t>
            </w:r>
          </w:p>
        </w:tc>
      </w:tr>
      <w:tr w:rsidR="005A192D" w:rsidTr="005A192D">
        <w:tc>
          <w:tcPr>
            <w:tcW w:w="2330"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Конечный результат реализации муниципальной программы</w:t>
            </w:r>
          </w:p>
        </w:tc>
        <w:tc>
          <w:tcPr>
            <w:tcW w:w="7371" w:type="dxa"/>
          </w:tcPr>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Индекс удовлетворенности населения качеством и доступностью услуг в сфере культуры составит не ниже 83 процентов;</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посещений муниципальных учреждений культуры, численность участников культурно-досуговых </w:t>
            </w:r>
            <w:r>
              <w:rPr>
                <w:rFonts w:ascii="Times New Roman" w:hAnsi="Times New Roman" w:cs="Times New Roman"/>
                <w:sz w:val="28"/>
                <w:szCs w:val="28"/>
              </w:rPr>
              <w:lastRenderedPageBreak/>
              <w:t>мероприятий сохранится на уровне достигнутых значений 2018 года;</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Численность детей, привлекаемых к участию в творческих мероприятиях, в общем числе детей не менее 13 процентов;</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w:t>
            </w:r>
            <w:proofErr w:type="gramStart"/>
            <w:r>
              <w:rPr>
                <w:rFonts w:ascii="Times New Roman" w:hAnsi="Times New Roman" w:cs="Times New Roman"/>
                <w:sz w:val="28"/>
                <w:szCs w:val="28"/>
              </w:rPr>
              <w:t>выставочных проектов, осуществляемых на территории муниципального образования сохранится</w:t>
            </w:r>
            <w:proofErr w:type="gramEnd"/>
            <w:r>
              <w:rPr>
                <w:rFonts w:ascii="Times New Roman" w:hAnsi="Times New Roman" w:cs="Times New Roman"/>
                <w:sz w:val="28"/>
                <w:szCs w:val="28"/>
              </w:rPr>
              <w:t xml:space="preserve"> на уровне достигнутых значений 2018 года.</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Расходы на улучшение материально-технической базы муниципальных учреждений культуры и учреждений дополнительного образования в сфере культуры будут соответствовать плановым расходам;</w:t>
            </w:r>
          </w:p>
          <w:p w:rsidR="005A192D" w:rsidRDefault="005A19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Степень износа основных средств муниципальных учреждений культуры и учреждений дополнительного образования в сфере культуры города не превысит 80 процентов</w:t>
            </w:r>
          </w:p>
        </w:tc>
      </w:tr>
    </w:tbl>
    <w:p w:rsidR="005A192D" w:rsidRDefault="005A192D" w:rsidP="005A192D">
      <w:pPr>
        <w:autoSpaceDE w:val="0"/>
        <w:autoSpaceDN w:val="0"/>
        <w:adjustRightInd w:val="0"/>
        <w:spacing w:after="0" w:line="240" w:lineRule="auto"/>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1. Характеристика текущего состояния сферы реализации</w:t>
      </w:r>
    </w:p>
    <w:p w:rsidR="005A192D" w:rsidRDefault="005A192D" w:rsidP="005A192D">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Программы, основные проблемы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«Развитие культуры в городе Комсомольске-на-Амуре» (далее - Программа) разработана для решения вопросов местного значения, установленных </w:t>
      </w:r>
      <w:hyperlink r:id="rId7" w:history="1">
        <w:r>
          <w:rPr>
            <w:rFonts w:ascii="Times New Roman" w:hAnsi="Times New Roman" w:cs="Times New Roman"/>
            <w:color w:val="0000FF"/>
            <w:sz w:val="28"/>
            <w:szCs w:val="28"/>
          </w:rPr>
          <w:t>пунктами 13</w:t>
        </w:r>
      </w:hyperlink>
      <w:r>
        <w:rPr>
          <w:rFonts w:ascii="Times New Roman" w:hAnsi="Times New Roman" w:cs="Times New Roman"/>
          <w:sz w:val="28"/>
          <w:szCs w:val="28"/>
        </w:rPr>
        <w:t xml:space="preserve">, </w:t>
      </w:r>
      <w:hyperlink r:id="rId8" w:history="1">
        <w:r>
          <w:rPr>
            <w:rFonts w:ascii="Times New Roman" w:hAnsi="Times New Roman" w:cs="Times New Roman"/>
            <w:color w:val="0000FF"/>
            <w:sz w:val="28"/>
            <w:szCs w:val="28"/>
          </w:rPr>
          <w:t>16</w:t>
        </w:r>
      </w:hyperlink>
      <w:r>
        <w:rPr>
          <w:rFonts w:ascii="Times New Roman" w:hAnsi="Times New Roman" w:cs="Times New Roman"/>
          <w:sz w:val="28"/>
          <w:szCs w:val="28"/>
        </w:rPr>
        <w:t xml:space="preserve">, </w:t>
      </w:r>
      <w:hyperlink r:id="rId9" w:history="1">
        <w:r>
          <w:rPr>
            <w:rFonts w:ascii="Times New Roman" w:hAnsi="Times New Roman" w:cs="Times New Roman"/>
            <w:color w:val="0000FF"/>
            <w:sz w:val="28"/>
            <w:szCs w:val="28"/>
          </w:rPr>
          <w:t>17</w:t>
        </w:r>
      </w:hyperlink>
      <w:r>
        <w:rPr>
          <w:rFonts w:ascii="Times New Roman" w:hAnsi="Times New Roman" w:cs="Times New Roman"/>
          <w:sz w:val="28"/>
          <w:szCs w:val="28"/>
        </w:rPr>
        <w:t xml:space="preserve">, </w:t>
      </w:r>
      <w:hyperlink r:id="rId10" w:history="1">
        <w:r>
          <w:rPr>
            <w:rFonts w:ascii="Times New Roman" w:hAnsi="Times New Roman" w:cs="Times New Roman"/>
            <w:color w:val="0000FF"/>
            <w:sz w:val="28"/>
            <w:szCs w:val="28"/>
          </w:rPr>
          <w:t>17.1</w:t>
        </w:r>
      </w:hyperlink>
      <w:r>
        <w:rPr>
          <w:rFonts w:ascii="Times New Roman" w:hAnsi="Times New Roman" w:cs="Times New Roman"/>
          <w:sz w:val="28"/>
          <w:szCs w:val="28"/>
        </w:rPr>
        <w:t xml:space="preserve">, </w:t>
      </w:r>
      <w:hyperlink r:id="rId11" w:history="1">
        <w:r>
          <w:rPr>
            <w:rFonts w:ascii="Times New Roman" w:hAnsi="Times New Roman" w:cs="Times New Roman"/>
            <w:color w:val="0000FF"/>
            <w:sz w:val="28"/>
            <w:szCs w:val="28"/>
          </w:rPr>
          <w:t>18 статьи 16</w:t>
        </w:r>
      </w:hyperlink>
      <w:r>
        <w:rPr>
          <w:rFonts w:ascii="Times New Roman" w:hAnsi="Times New Roman" w:cs="Times New Roman"/>
          <w:sz w:val="28"/>
          <w:szCs w:val="28"/>
        </w:rPr>
        <w:t xml:space="preserve"> и </w:t>
      </w:r>
      <w:hyperlink r:id="rId12" w:history="1">
        <w:r>
          <w:rPr>
            <w:rFonts w:ascii="Times New Roman" w:hAnsi="Times New Roman" w:cs="Times New Roman"/>
            <w:color w:val="0000FF"/>
            <w:sz w:val="28"/>
            <w:szCs w:val="28"/>
          </w:rPr>
          <w:t>подпунктом 1 пункта 1 статьи 16.1</w:t>
        </w:r>
      </w:hyperlink>
      <w:r>
        <w:rPr>
          <w:rFonts w:ascii="Times New Roman" w:hAnsi="Times New Roman" w:cs="Times New Roman"/>
          <w:sz w:val="28"/>
          <w:szCs w:val="28"/>
        </w:rPr>
        <w:t xml:space="preserve"> Федерального закона от 06 октября 2003 г. N 131-ФЗ «Об общих принципах организации местного самоуправления в Российской Федерации».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Программа направлена на реализацию положений </w:t>
      </w:r>
      <w:hyperlink r:id="rId13" w:history="1">
        <w:r>
          <w:rPr>
            <w:rFonts w:ascii="Times New Roman" w:hAnsi="Times New Roman" w:cs="Times New Roman"/>
            <w:color w:val="0000FF"/>
            <w:sz w:val="28"/>
            <w:szCs w:val="28"/>
          </w:rPr>
          <w:t>Стратегии</w:t>
        </w:r>
      </w:hyperlink>
      <w:r>
        <w:rPr>
          <w:rFonts w:ascii="Times New Roman" w:hAnsi="Times New Roman" w:cs="Times New Roman"/>
          <w:sz w:val="28"/>
          <w:szCs w:val="28"/>
        </w:rPr>
        <w:t xml:space="preserve"> социально-экономического развития муниципального образования городского округа «Город Комсомольск-на-Амуре» до 2032 года, утвержденной решением Комсомольской-на-Амуре городской Думы от 28 декабря 2016 г. N 116, </w:t>
      </w:r>
      <w:hyperlink r:id="rId14" w:history="1">
        <w:r>
          <w:rPr>
            <w:rFonts w:ascii="Times New Roman" w:hAnsi="Times New Roman" w:cs="Times New Roman"/>
            <w:color w:val="0000FF"/>
            <w:sz w:val="28"/>
            <w:szCs w:val="28"/>
          </w:rPr>
          <w:t>Плана</w:t>
        </w:r>
      </w:hyperlink>
      <w:r>
        <w:rPr>
          <w:rFonts w:ascii="Times New Roman" w:hAnsi="Times New Roman" w:cs="Times New Roman"/>
          <w:sz w:val="28"/>
          <w:szCs w:val="28"/>
        </w:rPr>
        <w:t xml:space="preserve"> мероприятий по реализации Стратегии социально-экономического развития муниципального образования городского округа «Город Комсомольск-на-Амуре» до 2032 года, утвержденного постановлением администрации города Комсомольска-на-Амуре от 25 сентября 2017 г. N 2419-па, а также </w:t>
      </w:r>
      <w:hyperlink r:id="rId15" w:history="1">
        <w:r>
          <w:rPr>
            <w:rFonts w:ascii="Times New Roman" w:hAnsi="Times New Roman" w:cs="Times New Roman"/>
            <w:color w:val="0000FF"/>
            <w:sz w:val="28"/>
            <w:szCs w:val="28"/>
          </w:rPr>
          <w:t>Стратегии</w:t>
        </w:r>
        <w:proofErr w:type="gramEnd"/>
      </w:hyperlink>
      <w:r>
        <w:rPr>
          <w:rFonts w:ascii="Times New Roman" w:hAnsi="Times New Roman" w:cs="Times New Roman"/>
          <w:sz w:val="28"/>
          <w:szCs w:val="28"/>
        </w:rPr>
        <w:t xml:space="preserve"> социально-экономического развития Хабаровского края на период до 2030 года, </w:t>
      </w:r>
      <w:proofErr w:type="gramStart"/>
      <w:r>
        <w:rPr>
          <w:rFonts w:ascii="Times New Roman" w:hAnsi="Times New Roman" w:cs="Times New Roman"/>
          <w:sz w:val="28"/>
          <w:szCs w:val="28"/>
        </w:rPr>
        <w:t>утвержденной</w:t>
      </w:r>
      <w:proofErr w:type="gramEnd"/>
      <w:r>
        <w:rPr>
          <w:rFonts w:ascii="Times New Roman" w:hAnsi="Times New Roman" w:cs="Times New Roman"/>
          <w:sz w:val="28"/>
          <w:szCs w:val="28"/>
        </w:rPr>
        <w:t xml:space="preserve"> постановлением Правительства Хабаровского края от 13 июня 2018 г. N 215-пр.</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Культура играет основополагающую роль в социально-экономическом развитии города Комсомольска-на-Амуре, формировании человеческого капитала, обеспечении достойного уровня и качества жизни населения.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Реализация политики в сфере культуры на муниципальном уровне направлена на обеспечение конституционных прав граждан по созданию, сохранению и освоению культурных ценностей, реализацию культурного и духовного потенциала каждой личности и общества, обеспечение эффективного </w:t>
      </w:r>
      <w:r>
        <w:rPr>
          <w:rFonts w:ascii="Times New Roman" w:hAnsi="Times New Roman" w:cs="Times New Roman"/>
          <w:sz w:val="28"/>
          <w:szCs w:val="28"/>
        </w:rPr>
        <w:lastRenderedPageBreak/>
        <w:t>управления культурными процессами, протекающими на территории города, с учетом интересов и запросов населения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Сеть муниципальных учреждений, предоставляющих населению города услуги в области культуры, состоит из 8 учреждений: </w:t>
      </w:r>
      <w:proofErr w:type="gramStart"/>
      <w:r>
        <w:rPr>
          <w:rFonts w:ascii="Times New Roman" w:hAnsi="Times New Roman" w:cs="Times New Roman"/>
          <w:sz w:val="28"/>
          <w:szCs w:val="28"/>
        </w:rPr>
        <w:t>Муниципальное учреждение культуры «Городская централизованная библиотека» (далее - МУК «Городская централизованная библиотека»), включающее 11 структурных подразделений; Муниципальное учреждение культуры Дворец культуры «Алмаз» (далее - МУК ДК «Алмаз»); Муниципальное учреждение культуры «Драматический театр» (далее - МУК «Драматический театр»); два музея - Муниципальное учреждение культуры «Городской краеведческий музей» (далее - МУК «Городской краеведческий музей»), Муниципальное учреждение культуры «Музей изобразительных искусств» (далее - МУК «Музей изобразительных искусств»);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Муниципальное автономное учреждение культуры «Зоологический центр «Питон» (далее - МАУК Зооцентр «Питон»), а также два учреждения дополнительного образования - Муниципальное автономное учреждение культуры дополнительного образования «Музыкальная школа» (далее - МАОУК ДОД «Музыкальная школа»), Муниципальное автономное учреждение культуры дополнительного образования «Художественная школа» (далее - МАОУК ДОД «Художественная школа»).</w:t>
      </w:r>
      <w:proofErr w:type="gramEnd"/>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2015 - 2019 гг. Комплекс мер по развитию культуры в городе осуществлялся по следующим направлениям: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культурно-досугового обслуживания населения;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музейного дела;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библиотечного обслуживания населения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театрального искусства;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сохранение и популяризация животных, содержащихся в неволе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условий для деятельности творческих союзов и объединений;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сохранение и развитие традиционной народной культуры и народных художественных промыслов;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потенциала учреждений культуры в реализации социально-экономической политики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развития системы дополнительного образования в сфере культуры, школы искусств города Комсомольска-на-Амуре осуществляют свою деятельность по дополнительным предпрофессиональным и общеразвивающим программам. Кроме того, предоставляют образовательные услуги, реализуемые на платной основе.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школах искусств города осуществляется 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Созданы</w:t>
      </w:r>
      <w:proofErr w:type="gramEnd"/>
      <w:r>
        <w:rPr>
          <w:rFonts w:ascii="Times New Roman" w:hAnsi="Times New Roman" w:cs="Times New Roman"/>
          <w:sz w:val="28"/>
          <w:szCs w:val="28"/>
        </w:rPr>
        <w:t xml:space="preserve"> и ведут активную культурно-просветительскую, концертную деятельность 18 любительских творческих коллективов (2 - преподавательских и 16 - детских).</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Учащиеся школ искусств города регулярно становятся лауреатами и дипломантами международных, региональных, краевых конкурсов.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развития культурно-досугового обслуживания населения в городе Комсомольске-на-Амуре осуществляют деятельность 128 клубных формирования, в которых занято около 7 тыс. человек.</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Всего в городе 18 творческих коллективов имеют звание «Образцовый» и 13 - «Народный», 1 коллектив - «Заслуженный».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2019 году г. Комсомольске-на-Амуре состоялся городской фестиваль самодеятельного творчества </w:t>
      </w:r>
      <w:proofErr w:type="spellStart"/>
      <w:r>
        <w:rPr>
          <w:rFonts w:ascii="Times New Roman" w:hAnsi="Times New Roman" w:cs="Times New Roman"/>
          <w:sz w:val="28"/>
          <w:szCs w:val="28"/>
        </w:rPr>
        <w:t>комсомольчан</w:t>
      </w:r>
      <w:proofErr w:type="spellEnd"/>
      <w:r>
        <w:rPr>
          <w:rFonts w:ascii="Times New Roman" w:hAnsi="Times New Roman" w:cs="Times New Roman"/>
          <w:sz w:val="28"/>
          <w:szCs w:val="28"/>
        </w:rPr>
        <w:t xml:space="preserve"> «На крыльях творчества и вдохновения», посвященный Году театра в Российской Федерации. В фестиваль входит 16 конкурсов и фестивалей по различным жанрам искусства, в рамках которых проведено 47 творческих мероприятий (концертов, мастер-классов, выставок). Например, в рамках городского фестиваля состоялся городской конкурс-фестиваль эстрадного искусства «</w:t>
      </w:r>
      <w:proofErr w:type="spellStart"/>
      <w:r>
        <w:rPr>
          <w:rFonts w:ascii="Times New Roman" w:hAnsi="Times New Roman" w:cs="Times New Roman"/>
          <w:sz w:val="28"/>
          <w:szCs w:val="28"/>
        </w:rPr>
        <w:t>Ambito-premium</w:t>
      </w:r>
      <w:proofErr w:type="spellEnd"/>
      <w:r>
        <w:rPr>
          <w:rFonts w:ascii="Times New Roman" w:hAnsi="Times New Roman" w:cs="Times New Roman"/>
          <w:sz w:val="28"/>
          <w:szCs w:val="28"/>
        </w:rPr>
        <w:t>». Конкурс проводился по номинациям «Эстрадный вокал» и «Инструментальное творчество».</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Уже стало традицией проводить в городе Комсомольске-на-Амуре открытый городской фестиваль вокально-хоровой, эстрадной и джазовой музыки «Хрустальная нота» и открытый городской конкурс хореографического искусства «Стихия танца», в которых ежегодно принимает участие почти 2 тыс. участников из г. Комсомольска-на-Амуре и городов Хабаровского края.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апреле 2019 года в городе Комсомольске-на-Амуре состоялся Фестиваль любительских театральных коллективов «Волшебство театра» имени Нины Ярцевой. На фестивале было представлено 13 театральных постановок, приняло участие 11 театральных коллективов.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Фестивали и конкурсы стали прекрасными стимулами для участников к новым победам, к постоянному творческому росту, прекрасной возможностью проявить свою уникальность, продемонстрировать свои способности и реализовать свой творческий потенциал.</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библиотечного дела в городе осуществляется на базе 11 филиалов МУК «Городская централизованная библиотека», а также сайте библиотеки kmslib.ru, рассчитанном на детскую и взрослую аудиторию и 4 пунктах выдачи. Библиотека города выполняет просветительскую, информационную и досуговую функции.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библиотеке предоставляется доступ:</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 Национальной электронной библиотеке, которая объединяет фонды публичных библиотек России федерального, регионального, муниципального уровней, библиотек научных и образовательных учреждений, а также правообладателей.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 Polpred.com Обзор СМИ. - Архив важных публикаций собирается вручную Ежедневно тысячи новостей, полный текст на русском языке. Миллионы сюжетов информагентств и деловой прессы за 15 лет.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 Президентской библиотеке - общегосударственное электронное хранилище цифровых копий важнейших документов, центр, имеющий статус национальной библиотеки России.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библиотеке осуществляют свою деятельность 35 клубов и реализовываются 18 программ, направленные на приобщение населения города к чтению.</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Сотрудниками библиотеки проводится консультативная и методическая работа с библиотеками города (школьными, ведомственными, библиотеками ВУЗов), активизирована работа по участию в Российском конкурсе юных чтецов «Живая классика», активно участвуют в конкурсах с целью получения грантов.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развития музейного дела в музеях города - МУК «Городской краеведческий музей», МУК «Музей изобразительных искусств» проводится постоянная работа по организации и открытию новых выставок, в том числе по народным ремеслам.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Музеи города, при поддержке министерства культуры Хабаровского края, организуют обменные выставки с музеями Хабаровского края и из федерального выставочного центра РОСИЗО (г. Москва).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соглашения, подписанного между городом Комсомольск-на-Амуре и городским округом Евпатория (республика Крым), между краеведческими музеями двух городов установился обмен выставками. Так, в 1 полугодии 2019 г. жители Евпатории смогли посмотреть выставку «Легендарный город Комсомольск-на-Амуре».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Музеями города для ознакомления жителей и гостей города, регулярно оформляются передвижные выставки на городских мероприятиях. Так, например, были оформлены передвижные выставки: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Драматическом театре: ко Дню Победы - «Этот день мы приближали, как могли», ко Дню города «Город на заре» и др.;</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МОУ ДО </w:t>
      </w:r>
      <w:proofErr w:type="spellStart"/>
      <w:r>
        <w:rPr>
          <w:rFonts w:ascii="Times New Roman" w:hAnsi="Times New Roman" w:cs="Times New Roman"/>
          <w:sz w:val="28"/>
          <w:szCs w:val="28"/>
        </w:rPr>
        <w:t>ДТДиМ</w:t>
      </w:r>
      <w:proofErr w:type="spellEnd"/>
      <w:r>
        <w:rPr>
          <w:rFonts w:ascii="Times New Roman" w:hAnsi="Times New Roman" w:cs="Times New Roman"/>
          <w:sz w:val="28"/>
          <w:szCs w:val="28"/>
        </w:rPr>
        <w:t xml:space="preserve"> «День Победы. Коллекция немецких трофейных почтовых карточек 1930 - 1940-е гг.»;</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 железнодорожном вокзале выставка «Комсомольск начинался с палаток».</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Одной из самых востребованных форм работы музеев остаются фольклорные праздники («Масленица», «Иван Купала»), в ходе которых учащиеся школ города знакомятся с традиционной культурой, занятиями и ремеслами коренных народов и русских переселенцев, закрепляют полученные знания, выполняя творческие задания и участвуя в различных мастер-классах.</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музее по предварительным заявкам проводится театрализованное поздравление молодоженов с использованием русских традиционных свадебных обычаев.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 центром в области развития театрального искусства в городе Комсомольске-на-Амуре является МУК «Драматический театр», который в 2019 году отметил свое 85-летие.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Ежегодно театр представляет премьерные постановки для детской и взрослой аудиторий, играет спектакли прошлых сезонов. На протяжении нескольких лет в стенах театра проводятся концерты ведущих музыкантов и творческих коллективов России, края, таких как - Юрий </w:t>
      </w:r>
      <w:proofErr w:type="spellStart"/>
      <w:r>
        <w:rPr>
          <w:rFonts w:ascii="Times New Roman" w:hAnsi="Times New Roman" w:cs="Times New Roman"/>
          <w:sz w:val="28"/>
          <w:szCs w:val="28"/>
        </w:rPr>
        <w:t>Башмет</w:t>
      </w:r>
      <w:proofErr w:type="spellEnd"/>
      <w:r>
        <w:rPr>
          <w:rFonts w:ascii="Times New Roman" w:hAnsi="Times New Roman" w:cs="Times New Roman"/>
          <w:sz w:val="28"/>
          <w:szCs w:val="28"/>
        </w:rPr>
        <w:t xml:space="preserve">, камерный ансамбль «Солисты Москвы» ансамбль «Дальний Восток» краевой филармонии, </w:t>
      </w:r>
      <w:r>
        <w:rPr>
          <w:rFonts w:ascii="Times New Roman" w:hAnsi="Times New Roman" w:cs="Times New Roman"/>
          <w:sz w:val="28"/>
          <w:szCs w:val="28"/>
        </w:rPr>
        <w:lastRenderedPageBreak/>
        <w:t>спектакли Российского академического молодежного театра и академического театра им. Евгения Вахтангова.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Программы развития театрального искусства в регионах Дальнего Востока, в 2019 году в городе Комсомольске-на-Амуре впервые прошел фестиваль Национальной премии «Золотая Маска». На сцене драматического театра </w:t>
      </w:r>
      <w:proofErr w:type="spellStart"/>
      <w:r>
        <w:rPr>
          <w:rFonts w:ascii="Times New Roman" w:hAnsi="Times New Roman" w:cs="Times New Roman"/>
          <w:sz w:val="28"/>
          <w:szCs w:val="28"/>
        </w:rPr>
        <w:t>комсомольчанам</w:t>
      </w:r>
      <w:proofErr w:type="spellEnd"/>
      <w:r>
        <w:rPr>
          <w:rFonts w:ascii="Times New Roman" w:hAnsi="Times New Roman" w:cs="Times New Roman"/>
          <w:sz w:val="28"/>
          <w:szCs w:val="28"/>
        </w:rPr>
        <w:t xml:space="preserve"> и гостям города, были представлены лучшие театральные постановки страны, ведущих театральных коллективов, отмеченные Национальной театральной Премией.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федеральной программы «Большие гастроли. Межрегиональная программа» в 2019 году состоялись обменные гастроли с Нижнетагильским драматическим театром им. </w:t>
      </w:r>
      <w:proofErr w:type="spellStart"/>
      <w:r>
        <w:rPr>
          <w:rFonts w:ascii="Times New Roman" w:hAnsi="Times New Roman" w:cs="Times New Roman"/>
          <w:sz w:val="28"/>
          <w:szCs w:val="28"/>
        </w:rPr>
        <w:t>Д.Н.</w:t>
      </w:r>
      <w:proofErr w:type="gramStart"/>
      <w:r>
        <w:rPr>
          <w:rFonts w:ascii="Times New Roman" w:hAnsi="Times New Roman" w:cs="Times New Roman"/>
          <w:sz w:val="28"/>
          <w:szCs w:val="28"/>
        </w:rPr>
        <w:t>Мамина</w:t>
      </w:r>
      <w:proofErr w:type="spellEnd"/>
      <w:r>
        <w:rPr>
          <w:rFonts w:ascii="Times New Roman" w:hAnsi="Times New Roman" w:cs="Times New Roman"/>
          <w:sz w:val="28"/>
          <w:szCs w:val="28"/>
        </w:rPr>
        <w:t>-Сибиряка</w:t>
      </w:r>
      <w:proofErr w:type="gramEnd"/>
      <w:r>
        <w:rPr>
          <w:rFonts w:ascii="Times New Roman" w:hAnsi="Times New Roman" w:cs="Times New Roman"/>
          <w:sz w:val="28"/>
          <w:szCs w:val="28"/>
        </w:rPr>
        <w:t>. Гастроли обоих театров собрали аншлаги.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Сохранение и популяризация </w:t>
      </w:r>
      <w:proofErr w:type="gramStart"/>
      <w:r>
        <w:rPr>
          <w:rFonts w:ascii="Times New Roman" w:hAnsi="Times New Roman" w:cs="Times New Roman"/>
          <w:sz w:val="28"/>
          <w:szCs w:val="28"/>
        </w:rPr>
        <w:t>животных, содержащихся в неволе осуществляется</w:t>
      </w:r>
      <w:proofErr w:type="gramEnd"/>
      <w:r>
        <w:rPr>
          <w:rFonts w:ascii="Times New Roman" w:hAnsi="Times New Roman" w:cs="Times New Roman"/>
          <w:sz w:val="28"/>
          <w:szCs w:val="28"/>
        </w:rPr>
        <w:t xml:space="preserve"> на базе МАУК Зооцентр «Питон». Учреждение динамично развивается, активно занимается природоохранной и эколого-просветительской деятельностью, а также является культурно-досуговым центром для жителей и гостей города Комсомольска-на-Амуре.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Коллекция Зооцентра представлена 100 видами и 257 экземплярами животных, из них занесены в международную Красную книгу 86 видов, Красную книгу 3 вида.</w:t>
      </w:r>
      <w:proofErr w:type="gramEnd"/>
      <w:r>
        <w:rPr>
          <w:rFonts w:ascii="Times New Roman" w:hAnsi="Times New Roman" w:cs="Times New Roman"/>
          <w:sz w:val="28"/>
          <w:szCs w:val="28"/>
        </w:rPr>
        <w:t xml:space="preserve"> Это единственный в своем роде на Дальнем Востоке зоопарк, где содержатся как экзотические животные (приматы, рептилии, млекопитающие), так и представители местной фауны.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течение отчетного 2018 года, отделом культуры администрации города Комсомольска-на-Амуре Хабаровского края проведено 52 масштабных мероприятия (городские торжественные собрания, концерты, митинги, приемы, шествия, концерты творческих коллективов города на площади Юности, эстрадной площадке набережной реки Амур, народные гуляния на театральной площади, эстрадной площадке набережной реки Амур, посвященные государственным и народным праздникам, памятным и знаменательным датам).</w:t>
      </w:r>
      <w:proofErr w:type="gramEnd"/>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Продолжается работа по взаимодействию с социально-ориентированными некоммерческими организациями, в частности, сотрудничество с Общенациональным фондом развития культуры и защиты интеллектуальной собственности при поддержке Министерства культуры Российской Федерации и министерства культуры Хабаровского края.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реализации муниципальной политики в сфере культуры, для выполнения поставленных задач, администрацией города Комсомольска-на-Амуре проводится планомерная работа по совершенствованию работы муниципальных учреждений культуры и учреждений дополнительного образования в сфере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качестве положительных тенденций, наблюдаемых в муниципальной системе культуры города за последние годы, можно выделить следующие процессы: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систематичность проведения городских праздников, конкурсов и фестивалей;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высокий уровень мобильности муниципальных профессиональных и самодеятельных творческих коллективов, их активная концертная и фестивальная деятельность;</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 сети информационных услуг через библиотечное обслуживание;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числа обращений к цифровым ресурсам учреждений культуры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рост удовлетворенности населения города услугами, предоставляемыми муниципальными учреждениями культуры и учреждениями дополнительного образования в сфере культуры, выражающийся в востребованности таких услуг;</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контингента учащихся в школах искусств.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Успешное развитие сферы культуры города является необходимым условием достижения стратегической цели «Создание комфортных условий для проживания и повышение качества жизни» и приоритетной задачи «Развитие сферы культуры и отдыха», стоящих перед органами местного самоуправления города Комсомольска-на-Амуре.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данного условия предполагает решение ряда ключевых проблем, характеризующих современное состояние сферы культуры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Недостаточно высокий уровень материально-технической оснащенности учреждений культуры и учреждений дополнительного образования в сфере культуры (зданий, специализированного оборудования, реквизита и т.д.).</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Материально-техническая база учреждений культуры в настоящее время часто не соответствует современным стандартам, информационным и культурным запросам населения края.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этих условиях муниципальным учреждениям культуры края все сложнее конкурировать с другими организациями в борьбе за свободное время и расходы граждан и домохозяйств в условиях распространения средств массовой коммуникации и массовых видов искусств, стремительного развития рынка электронных изданий и устрой</w:t>
      </w:r>
      <w:proofErr w:type="gramStart"/>
      <w:r>
        <w:rPr>
          <w:rFonts w:ascii="Times New Roman" w:hAnsi="Times New Roman" w:cs="Times New Roman"/>
          <w:sz w:val="28"/>
          <w:szCs w:val="28"/>
        </w:rPr>
        <w:t>ств дл</w:t>
      </w:r>
      <w:proofErr w:type="gramEnd"/>
      <w:r>
        <w:rPr>
          <w:rFonts w:ascii="Times New Roman" w:hAnsi="Times New Roman" w:cs="Times New Roman"/>
          <w:sz w:val="28"/>
          <w:szCs w:val="28"/>
        </w:rPr>
        <w:t>я чтения электронных книг, информационных технологий.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Проблемы, связанные с недостаточным финансированием сферы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Проблемы обеспечения сохранности имущества организаций культуры, в том числе в части установки и функционирования систем противопожарной безопасности, сигнализации.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Кадровые проблемы, включая невысокий престиж профессии работников сферы культуры, проблемы жилищной обеспеченности работников и привлечения молодых специалистов в отрасль, как следствие, старение кадров и др.</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Медленное внедрение современных информационных технологий и инноваций в сферу культуры в условиях радикального изменения информационного пространства Российской Федерации, нарастания темпов процессов глобализации, массовой компьютеризации, технологического </w:t>
      </w:r>
      <w:r>
        <w:rPr>
          <w:rFonts w:ascii="Times New Roman" w:hAnsi="Times New Roman" w:cs="Times New Roman"/>
          <w:sz w:val="28"/>
          <w:szCs w:val="28"/>
        </w:rPr>
        <w:lastRenderedPageBreak/>
        <w:t>развития сетей связи нового поколения и роста числа пользователей этими сетями.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Сохранение негативных тенденций, сложившихся в сфере культуры города, влечет за собой ухудшение качества жизни населения города, снижение исторической и духовно-нравственной культуры населения, разрушение системы культурных ценностей, подмену их массовой </w:t>
      </w:r>
      <w:proofErr w:type="spellStart"/>
      <w:r>
        <w:rPr>
          <w:rFonts w:ascii="Times New Roman" w:hAnsi="Times New Roman" w:cs="Times New Roman"/>
          <w:sz w:val="28"/>
          <w:szCs w:val="28"/>
        </w:rPr>
        <w:t>псевдокультурой</w:t>
      </w:r>
      <w:proofErr w:type="spellEnd"/>
      <w:r>
        <w:rPr>
          <w:rFonts w:ascii="Times New Roman" w:hAnsi="Times New Roman" w:cs="Times New Roman"/>
          <w:sz w:val="28"/>
          <w:szCs w:val="28"/>
        </w:rPr>
        <w:t xml:space="preserve">, разрушающей нравственные устои общества, обострение социальных, в том числе национально-этнических, </w:t>
      </w:r>
      <w:proofErr w:type="spellStart"/>
      <w:r>
        <w:rPr>
          <w:rFonts w:ascii="Times New Roman" w:hAnsi="Times New Roman" w:cs="Times New Roman"/>
          <w:sz w:val="28"/>
          <w:szCs w:val="28"/>
        </w:rPr>
        <w:t>этноконфессиональных</w:t>
      </w:r>
      <w:proofErr w:type="spellEnd"/>
      <w:r>
        <w:rPr>
          <w:rFonts w:ascii="Times New Roman" w:hAnsi="Times New Roman" w:cs="Times New Roman"/>
          <w:sz w:val="28"/>
          <w:szCs w:val="28"/>
        </w:rPr>
        <w:t xml:space="preserve"> проблем, усиление миграционного оттока, появление угроз национальной безопасности.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2. Приоритеты и цели деятельности администрации города</w:t>
      </w:r>
    </w:p>
    <w:p w:rsidR="005A192D" w:rsidRDefault="005A192D" w:rsidP="005A192D">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Комсомольска-на-Амуре в сфере культуры. Цели и задачи</w:t>
      </w:r>
    </w:p>
    <w:p w:rsidR="005A192D" w:rsidRDefault="005A192D" w:rsidP="005A192D">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муниципальной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Муниципальная политика в сфере культуры увязана с приоритетами и целями государственной политики в сфере культуры, установленными в </w:t>
      </w:r>
      <w:hyperlink r:id="rId16" w:history="1">
        <w:r>
          <w:rPr>
            <w:rFonts w:ascii="Times New Roman" w:hAnsi="Times New Roman" w:cs="Times New Roman"/>
            <w:color w:val="0000FF"/>
            <w:sz w:val="28"/>
            <w:szCs w:val="28"/>
          </w:rPr>
          <w:t>Указе</w:t>
        </w:r>
      </w:hyperlink>
      <w:r>
        <w:rPr>
          <w:rFonts w:ascii="Times New Roman" w:hAnsi="Times New Roman" w:cs="Times New Roman"/>
          <w:sz w:val="28"/>
          <w:szCs w:val="28"/>
        </w:rPr>
        <w:t xml:space="preserve"> Президента Российской Федерации от 7 мая 2018 г. N 204 «О национальных целях и стратегических задачах развития Российской Федерации на период до 2024 года», в Концепции долгосрочного социального экономического развития Российской Федерации, Основных направлениях деятельности Правительства Российской Федерации на среднесрочный период, посланиях</w:t>
      </w:r>
      <w:proofErr w:type="gramEnd"/>
      <w:r>
        <w:rPr>
          <w:rFonts w:ascii="Times New Roman" w:hAnsi="Times New Roman" w:cs="Times New Roman"/>
          <w:sz w:val="28"/>
          <w:szCs w:val="28"/>
        </w:rPr>
        <w:t xml:space="preserve"> Президента Российской Федерации Федеральному Собранию Российской Федерации, долгосрочных и среднесрочных стратегиях развития отдельных отраслей сферы культуры, иных стратегических документах, утвержденных Президентом Российской Федерации и Правительством Российской Федерации.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 региональном уровне основные приоритеты государственной политики отражены в </w:t>
      </w:r>
      <w:hyperlink r:id="rId17" w:history="1">
        <w:r>
          <w:rPr>
            <w:rFonts w:ascii="Times New Roman" w:hAnsi="Times New Roman" w:cs="Times New Roman"/>
            <w:color w:val="0000FF"/>
            <w:sz w:val="28"/>
            <w:szCs w:val="28"/>
          </w:rPr>
          <w:t>Стратегии</w:t>
        </w:r>
      </w:hyperlink>
      <w:r>
        <w:rPr>
          <w:rFonts w:ascii="Times New Roman" w:hAnsi="Times New Roman" w:cs="Times New Roman"/>
          <w:sz w:val="28"/>
          <w:szCs w:val="28"/>
        </w:rPr>
        <w:t xml:space="preserve"> социально-экономического развития Хабаровского края на период до 2030 года, утвержденной постановлением Правительства Хабаровского края от 13 июня 2018 г. N 215-пр и в государственной </w:t>
      </w:r>
      <w:hyperlink r:id="rId18" w:history="1">
        <w:r>
          <w:rPr>
            <w:rFonts w:ascii="Times New Roman" w:hAnsi="Times New Roman" w:cs="Times New Roman"/>
            <w:color w:val="0000FF"/>
            <w:sz w:val="28"/>
            <w:szCs w:val="28"/>
          </w:rPr>
          <w:t>программе</w:t>
        </w:r>
      </w:hyperlink>
      <w:r>
        <w:rPr>
          <w:rFonts w:ascii="Times New Roman" w:hAnsi="Times New Roman" w:cs="Times New Roman"/>
          <w:sz w:val="28"/>
          <w:szCs w:val="28"/>
        </w:rPr>
        <w:t xml:space="preserve"> Хабаровского края «Культура Хабаровского края», утвержденной постановлением Правительства Хабаровского края от 28 июня 2012 г. N 216-пр.</w:t>
      </w:r>
      <w:proofErr w:type="gramEnd"/>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 местном уровне основные направления и мероприятия по развитию сферы культуры и отдыха отражены в </w:t>
      </w:r>
      <w:hyperlink r:id="rId19" w:history="1">
        <w:r>
          <w:rPr>
            <w:rFonts w:ascii="Times New Roman" w:hAnsi="Times New Roman" w:cs="Times New Roman"/>
            <w:color w:val="0000FF"/>
            <w:sz w:val="28"/>
            <w:szCs w:val="28"/>
          </w:rPr>
          <w:t>Стратегии</w:t>
        </w:r>
      </w:hyperlink>
      <w:r>
        <w:rPr>
          <w:rFonts w:ascii="Times New Roman" w:hAnsi="Times New Roman" w:cs="Times New Roman"/>
          <w:sz w:val="28"/>
          <w:szCs w:val="28"/>
        </w:rPr>
        <w:t xml:space="preserve"> социально-экономического развития муниципального образования городского округа «Город Комсомольск-на-Амуре» до 2032 года, утвержденной решением Комсомольской-на-Амуре городской Думы от 28 декабря 2016 г. N 116 и </w:t>
      </w:r>
      <w:hyperlink r:id="rId20" w:history="1">
        <w:r>
          <w:rPr>
            <w:rFonts w:ascii="Times New Roman" w:hAnsi="Times New Roman" w:cs="Times New Roman"/>
            <w:color w:val="0000FF"/>
            <w:sz w:val="28"/>
            <w:szCs w:val="28"/>
          </w:rPr>
          <w:t>Плане</w:t>
        </w:r>
      </w:hyperlink>
      <w:r>
        <w:rPr>
          <w:rFonts w:ascii="Times New Roman" w:hAnsi="Times New Roman" w:cs="Times New Roman"/>
          <w:sz w:val="28"/>
          <w:szCs w:val="28"/>
        </w:rPr>
        <w:t xml:space="preserve"> мероприятий по реализации Стратегии социально-экономического развития муниципального образования городского округа «Город Комсомольск-на-Амуре» до 2032 года, утвержденном постановлением администрации города</w:t>
      </w:r>
      <w:proofErr w:type="gramEnd"/>
      <w:r>
        <w:rPr>
          <w:rFonts w:ascii="Times New Roman" w:hAnsi="Times New Roman" w:cs="Times New Roman"/>
          <w:sz w:val="28"/>
          <w:szCs w:val="28"/>
        </w:rPr>
        <w:t xml:space="preserve"> Комсомольска-на-Амуре от 25 сентября 2017 г. N 2419-па.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Цель Программы определяется стратегической целью, предусматривающей создание комфортной среды для жителей города Комсомольска-на-Амуре. Задачи Программы согласованы со стратегическим приоритетом первого уровня «Повышение качества человеческого капитала».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рамках формирования на территории города комфортной среды проживания для населения планируется в максимальной степени нивелировать сложившийся уровень отставания стандартов культурного обслуживания в городе от среднего уровня для европейских районов страны.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условий для сохранения библиотечного фонда, культурного наследия, повышение доступности населения к духовным ценностям, увеличение объемов услуг в различных видах культурной деятельности относятся к числу главных задач развития социальной сферы, которые необходимо решить при помощи инноваций и государственной поддержке.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период до 2024 года развитие сферы культуры города будет направлено на сохранение культурного наследия народов, развитие профессионального искусства, библиотечного дела, активизацию народного творчества, улучшение культурно-досуговой работы и кинообслуживания населения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долгосрочными целями и приоритетами развития сферы культуры в России, в крае и в городе основной целью Программы является развитие сферы культуры и отдыха.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Достижение основной цели предполагает решение ряда задач:</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обеспечение гражданам доступа к культурным ценностям;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создание условий для реализации каждым человеком его творческого потенциала;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повышение качества услуг, предоставляемых подведомственными муниципальными учреждениями.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указанных задач будет осуществляться в условиях преодоления негативных тенденций, сложившихся в сфере культуры Российской Федерации, края и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3. Прогноз конечных результатов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ожидаемыми результатами реализации Программы должно стать повышение роли и вклада отрасли культуры в социально-экономическое развитие города, что позволит к 2025 году:</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Сохранить индекс удовлетворенности населения качеством и доступностью услуг в сфере культуры на уровне 83 процентов;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Сохранить количество посещений муниципальных учреждений культуры, численность участников культурно-досуговых мероприятий на уровне достигнутых значений 2018 года;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Сохранить численность детей, привлекаемых к участию в творческих мероприятиях, в общем числе детей на уровне не менее 13 процентов;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Сохранить количество выставочных проектов, осуществляемых на территории муниципального образования на уровне достигнутых значений 2018 года.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Обеспечить 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w:t>
      </w:r>
      <w:r>
        <w:rPr>
          <w:rFonts w:ascii="Times New Roman" w:hAnsi="Times New Roman" w:cs="Times New Roman"/>
          <w:sz w:val="28"/>
          <w:szCs w:val="28"/>
        </w:rPr>
        <w:lastRenderedPageBreak/>
        <w:t>физических лиц (среднемесячному доходу от трудовой деятельности) на уровне 100%;</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Обеспечить отношение средней заработной платы работников учреждений культуры к среднемесячной начисленной заработной плате учителей по г. Комсомольску-на-Амуре на уровне 100%</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Сохранить среднесписочную численность работников муниципальных учреждений культуры 435 чел;</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Сохранить среднесписочную численность педагогических работников школ искусств 128 чел.</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Обеспечит финансирование расходов на улучшение материально-технической базы муниципальных учреждений культуры и учреждений дополнительного образования в сфере культуры города в соответствии с плановыми расходами;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 превышать степень износа основных средств муниципальных учреждений культуры и учреждений дополнительного образования в сфере культуры города, не более 80 процентов.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планируется обеспечить:</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рост объема реализации платных услуг населению города учреждениями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повышение культурного уровня населения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улучшение качества жизни населения за счет обеспечения доступа к информации и культурным ценностям;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повышение индекса развития человеческого потенциала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повышение привлекательности города как места жительства населения;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преодоление цифрового и информационного неравенства для населения города как муниципального образования, удаленного от центра России;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повышение конкурентоспособности организаций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повышение качества и доступности муниципальных услуг в сфере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Отрицательные внешние эффекты в случае не реализации мероприятий Программы характеризуются следующими показателями: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снижение качества и доступности библиотечных, музейных, театрально-концертных, культурно-досуговых, образовательных услуг в сфере культуры для населения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невозможность реализации творческих способностей одаренных детей и молодежи;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утрата уникальных традиций, обычаев, потеря их преемственности;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утрата </w:t>
      </w:r>
      <w:proofErr w:type="gramStart"/>
      <w:r>
        <w:rPr>
          <w:rFonts w:ascii="Times New Roman" w:hAnsi="Times New Roman" w:cs="Times New Roman"/>
          <w:sz w:val="28"/>
          <w:szCs w:val="28"/>
        </w:rPr>
        <w:t>возможности реализации творческих способностей населения города</w:t>
      </w:r>
      <w:proofErr w:type="gramEnd"/>
      <w:r>
        <w:rPr>
          <w:rFonts w:ascii="Times New Roman" w:hAnsi="Times New Roman" w:cs="Times New Roman"/>
          <w:sz w:val="28"/>
          <w:szCs w:val="28"/>
        </w:rPr>
        <w:t xml:space="preserve"> и др.</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Выгоды от реализации Программы характеризуются следующими показателями: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разнообразия видов и объема услуг, оказываемых в сфере культуры для удовлетворения запросов населения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и развитие инфраструктуры отрасли культуры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техническое оснащение и переоснащение отрасли;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модернизация материально-технической базы муниципальных учреждений культуры и учреждений дополнительного образования в сфере культуры, обеспечение ее соответствия современным стандартам и культурным запросам населения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обеспечение сохранности объектов культурного наследия, гарантированного доступа граждан к ним и др.</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Итогом реализации Программы станет достижение качественно нового уровня культурного развития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4. Сроки и этапы реализации муниципальной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муниципальной программы составляет 2020 - 2024 годы, выполнение этапов не предусматривается.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 xml:space="preserve">5. Перечень показателей (индикаторов) </w:t>
      </w:r>
      <w:proofErr w:type="gramStart"/>
      <w:r>
        <w:rPr>
          <w:rFonts w:ascii="Times New Roman" w:hAnsi="Times New Roman" w:cs="Times New Roman"/>
          <w:b/>
          <w:bCs/>
          <w:sz w:val="28"/>
          <w:szCs w:val="28"/>
        </w:rPr>
        <w:t>муниципальной</w:t>
      </w:r>
      <w:proofErr w:type="gramEnd"/>
    </w:p>
    <w:p w:rsidR="005A192D" w:rsidRDefault="005A192D" w:rsidP="005A192D">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оценки успешности реализации Программы будут использованы показатели (индикаторы), характеризующие: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достижение цели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решения задач и выполнения основных мероприятий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показателей (индикаторов), характеризующих достижение цели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Индекс удовлетворенности населения качеством и доступностью услуг в сфере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Отношение средней заработной платы педагогических работников учреждений дополнительного образования в сфере культуры к среднемесячной начисленной заработной плате учителей по г. Комсомольску-на-Амуре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Численность работников муниципальных учреждений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Численность педагогических работников школ искусств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Расходы на улучшение материально-технической базы муниципальных учреждений культуры и учреждений дополнительного образования в сфере культуры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Степень износа основных средств муниципальных учреждений культуры и учреждений дополнительного образования в сфере культуры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показателей (индикаторов), характеризующих достижение задач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Задача «Создание условий для реализации каждым человеком его творческого потенциала»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1.1. Доля детей, обучающихся в детских школах искусств, в общей численности учащихся детей в возрасте от 7 до 18 лет;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Численность детей, привлекаемых к участию в творческих мероприятиях, в общем числе детей;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Число посещений культурно-досуговых мероприятий.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Задача «Обеспечение гражданам доступа к культурным ценностям»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Охват населения библиотечным обслуживанием, с учетом удаленных пользователей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Среднее число книговыдач, в расчете на 1 тыс. человек населения в год;</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Посещаемость музейных учреждений на 1 тыс. человек населения в год;</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Число выставок</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 Количество выставочных проектов;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 Среднее число зрителей на мероприятиях театра;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 Количество зрителей театрально-концертных мероприятий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 Средняя численность посетителей мероприятий Зооцентра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Полный </w:t>
      </w:r>
      <w:hyperlink r:id="rId21" w:history="1">
        <w:r>
          <w:rPr>
            <w:rFonts w:ascii="Times New Roman" w:hAnsi="Times New Roman" w:cs="Times New Roman"/>
            <w:color w:val="0000FF"/>
            <w:sz w:val="28"/>
            <w:szCs w:val="28"/>
          </w:rPr>
          <w:t>перечень</w:t>
        </w:r>
      </w:hyperlink>
      <w:r>
        <w:rPr>
          <w:rFonts w:ascii="Times New Roman" w:hAnsi="Times New Roman" w:cs="Times New Roman"/>
          <w:sz w:val="28"/>
          <w:szCs w:val="28"/>
        </w:rPr>
        <w:t xml:space="preserve"> показателей (индикаторов) Программы с расшифровкой плановых значений по годам ее реализации представлен в приложении N 2 к Программе.</w:t>
      </w:r>
    </w:p>
    <w:p w:rsidR="005A192D" w:rsidRDefault="00C1627B" w:rsidP="005A192D">
      <w:pPr>
        <w:autoSpaceDE w:val="0"/>
        <w:autoSpaceDN w:val="0"/>
        <w:adjustRightInd w:val="0"/>
        <w:spacing w:after="0" w:line="240" w:lineRule="auto"/>
        <w:ind w:firstLine="709"/>
        <w:jc w:val="both"/>
        <w:rPr>
          <w:rFonts w:ascii="Times New Roman" w:hAnsi="Times New Roman" w:cs="Times New Roman"/>
          <w:sz w:val="28"/>
          <w:szCs w:val="28"/>
        </w:rPr>
      </w:pPr>
      <w:hyperlink r:id="rId22" w:history="1">
        <w:r w:rsidR="005A192D">
          <w:rPr>
            <w:rFonts w:ascii="Times New Roman" w:hAnsi="Times New Roman" w:cs="Times New Roman"/>
            <w:color w:val="0000FF"/>
            <w:sz w:val="28"/>
            <w:szCs w:val="28"/>
          </w:rPr>
          <w:t>Методика</w:t>
        </w:r>
      </w:hyperlink>
      <w:r w:rsidR="005A192D">
        <w:rPr>
          <w:rFonts w:ascii="Times New Roman" w:hAnsi="Times New Roman" w:cs="Times New Roman"/>
          <w:sz w:val="28"/>
          <w:szCs w:val="28"/>
        </w:rPr>
        <w:t xml:space="preserve"> расчета показателей (индикаторов), источником </w:t>
      </w:r>
      <w:proofErr w:type="gramStart"/>
      <w:r w:rsidR="005A192D">
        <w:rPr>
          <w:rFonts w:ascii="Times New Roman" w:hAnsi="Times New Roman" w:cs="Times New Roman"/>
          <w:sz w:val="28"/>
          <w:szCs w:val="28"/>
        </w:rPr>
        <w:t>информации</w:t>
      </w:r>
      <w:proofErr w:type="gramEnd"/>
      <w:r w:rsidR="005A192D">
        <w:rPr>
          <w:rFonts w:ascii="Times New Roman" w:hAnsi="Times New Roman" w:cs="Times New Roman"/>
          <w:sz w:val="28"/>
          <w:szCs w:val="28"/>
        </w:rPr>
        <w:t xml:space="preserve"> для которых не являются данные статистического наблюдения, для оценки результативности намеченных к реализации мероприятий представлена в Приложении N 4 к настоящей Программе.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6. Краткое описание основных мероприятий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Программы реализация подпрограмм не предусмотрена.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Достижение цели и решение задач Программы осуществляется на основе проведения основных мероприятий.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мероприятия Программы предполагаются к реализации в срок с 2020 по 2024 год.</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решение задач муниципальной программы по созданию условий для реализации каждым человеком его творческого потенциала, обеспечению гражданам доступа к культурным ценностям, а также созданию благоприятных условий для устойчивого развития сферы культуры в городе Комсомольске-на-Амуре направлены основные мероприятия: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Развитие системы дополнительного образования в сфере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Развитие культурно-досугового обслуживания населения.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Развитие библиотечного дела.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Развитие музейного дела.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Развитие театрального искусства.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Сохранение и популяризация животных, содержащихся в неволе.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 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Непосредственные результаты реализации основного мероприятия «Развитие системы дополнительного образования в сфере культуры» предусматривают: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сохранение контингента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рост индекса удовлетворенности населения города качеством и доступностью предоставляемых образовательных услуг в сфере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Непосредственными результатами реализации основного мероприятия «Развитие культурно-досугового обслуживания населения» станут: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обеспечение вовлечения всех групп населения в активную творческую деятельность, предполагающую освоение базовых художественно-практических навыков;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среднего числа участников клубных формирований;</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среднего числа посетителей мероприятий учреждений культурно-досугового типа;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удельного веса населения, участвующего в платных культурно-досуговых мероприятиях, проводимых муниципальными учреждениями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рост индекса удовлетворенности населения города качеством и доступностью предоставляемых культурно-досуговых услуг.</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Непосредственные результаты реализации основного мероприятия «Развитие библиотечного дела» предусматривают: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охвата населения города библиотечным обслуживанием;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среднего числа посещений библиотек;</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внедрение информационных технологий и создание качественных электронных ресурсов библиотек;</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среднего числа книговыдач в библиотеках;</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количества экземпляров библиотечного фонда общедоступных библиотек;</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уровня комплектования книжных фондов библиотек (с учетом установленных нормативов);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рост индекса удовлетворенности населения края качеством и доступностью предоставляемых библиотечных услуг.</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Непосредственные результаты реализации основного мероприятия «Развитие музейного дела» включают: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обеспечение сохранности и использования музейного фонда города, развитие музеев;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среднего числа посещений музеев;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среднего числа выставок;</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рост индекса удовлетворенности населения края качеством и доступностью предоставляемых музейных услуг.</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Непосредственные результаты реализации основного мероприятия «Развитие театрального искусства» предусматривают: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сохранение среднего числа зрителей на мероприятиях театра;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создание виртуального театрального зала в г. Комсомольске-на-Амуре;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рост индекса удовлетворенности населения города качеством и доступностью предоставляемых театральных услуг.</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Непосредственными результатами реализации основного мероприятия «Сохранение и популяризация животных, содержащихся в неволе» станут: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количества видов животных, содержащихся в неволе, предлагаемых к показу населению и гостям города;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средней численности посетителей мероприятий зооцентра;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рост индекса удовлетворенности населения города качеством и доступностью предоставляемых зооцентром услуг.</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Непосредственными результатами реализации основного мероприятия «Осуществление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 станут: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доступности услуг учреждений культуры г. Комсомольска-на-Амуре;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создание условий сохранения объектов культурного наследия местного (муниципального) значения, в результате их использования;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рост индекса удовлетворенности населения г. Комсомольска-на-Амуре качеством предоставления услуг;</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Перечень основных мероприятий Программы с расшифровкой плановых значений по годам ее реализации представлен в </w:t>
      </w:r>
      <w:hyperlink r:id="rId23" w:history="1">
        <w:r>
          <w:rPr>
            <w:rFonts w:ascii="Times New Roman" w:hAnsi="Times New Roman" w:cs="Times New Roman"/>
            <w:color w:val="0000FF"/>
            <w:sz w:val="28"/>
            <w:szCs w:val="28"/>
          </w:rPr>
          <w:t>приложении N 1</w:t>
        </w:r>
      </w:hyperlink>
      <w:r>
        <w:rPr>
          <w:rFonts w:ascii="Times New Roman" w:hAnsi="Times New Roman" w:cs="Times New Roman"/>
          <w:sz w:val="28"/>
          <w:szCs w:val="28"/>
        </w:rPr>
        <w:t xml:space="preserve"> к Программе.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7. Основные меры правового регулирования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Достижение цели и (или) конечных результатов Программы, не предусматривают разработку и принятие дополнительных нормативных правовых актов.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Реализация мероприятий муниципальной программы будет осуществляться в соответствии с действующими нормативными правовыми актами.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8. Ресурсное обеспечение реализации муниципальной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Программы осуществляется за счет средств местного бюджета с привлечением средств федерального бюджета, краевого бюджета и внебюджетных средств.</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Программы (прогнозная справочная оценка) за счет всех источников составляет 2 164 150,82 тыс. руб., в том числе по годам: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2020 год - 445 160,73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2021 год - 385 722,41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2022 год - 447 718,30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2023 год - 437 265,55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2024 год - 448 283,83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Из них:</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Местный бюджет - 2 136 508,00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том числе по годам: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2020 год - 439 396,92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2021 год - 380 048,60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2022 год - 441 760,80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2023 год - 437 265,55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2024 год - 438 036,13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Краевой бюджет (по согласованию) - 3 984,18 тыс. руб., в том числе по годам: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2020 год - 997,81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2021 год - 907,81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2022 год - 893,63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2023 год - 0,00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2024 год - 1 184,93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Федеральный бюджет (по согласованию) - 23 658,64 тыс. руб., в том числе по годам: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2020 год - 4 766,00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2021 год - 4 766,00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2022 год - 5 063,87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2023 год - 0,00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2024 год - 9 062,77 тыс. руб.</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Программы предусматривается выполнение муниципальных заданий учреждениями.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по ресурсному обеспечению реализации Программы за счет средств местного бюджета, федерального бюджета и краевого бюджета с указанием главных распорядителей бюджетных средств, а также по годам реализации приведена в </w:t>
      </w:r>
      <w:hyperlink r:id="rId24" w:history="1">
        <w:r>
          <w:rPr>
            <w:rFonts w:ascii="Times New Roman" w:hAnsi="Times New Roman" w:cs="Times New Roman"/>
            <w:color w:val="0000FF"/>
            <w:sz w:val="28"/>
            <w:szCs w:val="28"/>
          </w:rPr>
          <w:t>приложении N 3</w:t>
        </w:r>
      </w:hyperlink>
      <w:r>
        <w:rPr>
          <w:rFonts w:ascii="Times New Roman" w:hAnsi="Times New Roman" w:cs="Times New Roman"/>
          <w:sz w:val="28"/>
          <w:szCs w:val="28"/>
        </w:rPr>
        <w:t xml:space="preserve"> к настоящей Программе.</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реализации поставленных задач прогнозируется привлечение дополнительных ресурсов, в том числе финансовых средств от предпринимательской и иной приносящей доход деятельности.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p>
    <w:p w:rsidR="005A192D" w:rsidRDefault="005A192D" w:rsidP="005A192D">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9. Механизм реализации муниципальной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направлен на эффективное планирование хода исполнения мероприятий, координацию действий соисполнителей Программы, обеспечение контроля исполнения значений целевых показателей (индикаторов) Программы и программных мероприятий, проведение мониторинга и оценки эффективности реализации Программы, выработку решений о внесении изменений в Программу при возникновении отклонения хода работ от плана мероприятий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реализуется в соответствии с федеральным и краевым законодательством, нормативными правовыми актами администрации города Комсомольска-на-Амуре. Объем бюджетных ассигнований на реализацию мероприятий Программы утверждается решением Комсомольской-на-Амуре городской Думы о местном бюджете на очередной финансовый год. </w:t>
      </w:r>
      <w:r>
        <w:rPr>
          <w:rFonts w:ascii="Times New Roman" w:hAnsi="Times New Roman" w:cs="Times New Roman"/>
          <w:sz w:val="28"/>
          <w:szCs w:val="28"/>
        </w:rPr>
        <w:lastRenderedPageBreak/>
        <w:t>Планирование бюджетных ассигнований осуществляется в соответствии с краевым и муниципальным бюджетным законодательством.</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Программы - отдел культуры.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выполнения всего комплекса мероприятий Программы, решения поставленных задач, достижения запланированных результатов, целевого и эффективного расходования финансовых ресурсов, выделенных на ее реализацию, ответственный исполнитель осуществляет координацию деятельности всех соисполнителей и участников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организует реализацию муниципальной программы, осуществляет координацию деятельности соисполнителей и участников муниципальной программы, вносит по согласованию с соисполнителями изменения в муниципальную программу и несет ответственность за достижение показателей (индикаторов) муниципальной программы, а также конечных результатов ее реализации;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осуществляет мониторинг реализации муниципальной программы и представляет на рассмотрение и согласование заместителю главы администрации города полугодовой отчет.</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готовит годовой отчет и представляет его в управление экономического развития.</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запрашивает у соисполнителей и участников муниципальной программы информацию, необходимую для проведения мониторинга реализации муниципальной программы и подготовки годового отчета.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несет ответственность за достоверность информации в полугодовом и годовом отчетах.</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размещает в электронном виде </w:t>
      </w:r>
      <w:proofErr w:type="gramStart"/>
      <w:r>
        <w:rPr>
          <w:rFonts w:ascii="Times New Roman" w:hAnsi="Times New Roman" w:cs="Times New Roman"/>
          <w:sz w:val="28"/>
          <w:szCs w:val="28"/>
        </w:rPr>
        <w:t>посредством ГАС</w:t>
      </w:r>
      <w:proofErr w:type="gramEnd"/>
      <w:r>
        <w:rPr>
          <w:rFonts w:ascii="Times New Roman" w:hAnsi="Times New Roman" w:cs="Times New Roman"/>
          <w:sz w:val="28"/>
          <w:szCs w:val="28"/>
        </w:rPr>
        <w:t xml:space="preserve"> «Управление» отчетных данных о реализации муниципальной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Соисполнители: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участвуют в разработке и осуществляют реализацию мероприятий муниципальной программы, в отношении которых они являются соисполнителями.</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представляют в части своей компетенции предложения ответственному исполнителю по корректировке муниципальной программы.</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срок до 01 февраля года, следующего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отчетным</w:t>
      </w:r>
      <w:proofErr w:type="gramEnd"/>
      <w:r>
        <w:rPr>
          <w:rFonts w:ascii="Times New Roman" w:hAnsi="Times New Roman" w:cs="Times New Roman"/>
          <w:sz w:val="28"/>
          <w:szCs w:val="28"/>
        </w:rPr>
        <w:t>, представляют ответственному исполнителю необходимую информацию для подготовки годового отчета.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срок до 01 июля года, следующего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отчетным</w:t>
      </w:r>
      <w:proofErr w:type="gramEnd"/>
      <w:r>
        <w:rPr>
          <w:rFonts w:ascii="Times New Roman" w:hAnsi="Times New Roman" w:cs="Times New Roman"/>
          <w:sz w:val="28"/>
          <w:szCs w:val="28"/>
        </w:rPr>
        <w:t>,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w:t>
      </w:r>
    </w:p>
    <w:p w:rsidR="005A192D" w:rsidRDefault="005A192D" w:rsidP="005A192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несут ответственность, в части своей компетенции, за достоверность информации в полугодовом и годовом отчетах.</w:t>
      </w:r>
    </w:p>
    <w:p w:rsidR="009C0AAB" w:rsidRPr="005A192D" w:rsidRDefault="005A192D" w:rsidP="005A192D">
      <w:pPr>
        <w:autoSpaceDE w:val="0"/>
        <w:autoSpaceDN w:val="0"/>
        <w:adjustRightInd w:val="0"/>
        <w:spacing w:after="0" w:line="240" w:lineRule="auto"/>
        <w:ind w:firstLine="709"/>
        <w:jc w:val="both"/>
      </w:pPr>
      <w:r>
        <w:rPr>
          <w:rFonts w:ascii="Times New Roman" w:hAnsi="Times New Roman" w:cs="Times New Roman"/>
          <w:sz w:val="28"/>
          <w:szCs w:val="28"/>
        </w:rPr>
        <w:t>- несут ответственность за достижение показателей (индикаторов), конечных результатов реализации основных мероприятий муниципальной программы, ответственными за которые они являются.</w:t>
      </w:r>
    </w:p>
    <w:sectPr w:rsidR="009C0AAB" w:rsidRPr="005A192D" w:rsidSect="00C1627B">
      <w:headerReference w:type="default" r:id="rId25"/>
      <w:pgSz w:w="11905" w:h="16840"/>
      <w:pgMar w:top="1134" w:right="680" w:bottom="1134" w:left="1531" w:header="454"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50B" w:rsidRDefault="00F8250B" w:rsidP="00F8250B">
      <w:pPr>
        <w:spacing w:after="0" w:line="240" w:lineRule="auto"/>
      </w:pPr>
      <w:r>
        <w:separator/>
      </w:r>
    </w:p>
  </w:endnote>
  <w:endnote w:type="continuationSeparator" w:id="0">
    <w:p w:rsidR="00F8250B" w:rsidRDefault="00F8250B" w:rsidP="00F82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50B" w:rsidRDefault="00F8250B" w:rsidP="00F8250B">
      <w:pPr>
        <w:spacing w:after="0" w:line="240" w:lineRule="auto"/>
      </w:pPr>
      <w:r>
        <w:separator/>
      </w:r>
    </w:p>
  </w:footnote>
  <w:footnote w:type="continuationSeparator" w:id="0">
    <w:p w:rsidR="00F8250B" w:rsidRDefault="00F8250B" w:rsidP="00F825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952551"/>
      <w:docPartObj>
        <w:docPartGallery w:val="Page Numbers (Top of Page)"/>
        <w:docPartUnique/>
      </w:docPartObj>
    </w:sdtPr>
    <w:sdtEndPr>
      <w:rPr>
        <w:rFonts w:ascii="Times New Roman" w:hAnsi="Times New Roman" w:cs="Times New Roman"/>
        <w:sz w:val="24"/>
        <w:szCs w:val="24"/>
      </w:rPr>
    </w:sdtEndPr>
    <w:sdtContent>
      <w:p w:rsidR="00F8250B" w:rsidRPr="00C1627B" w:rsidRDefault="00F8250B">
        <w:pPr>
          <w:pStyle w:val="a5"/>
          <w:jc w:val="center"/>
          <w:rPr>
            <w:rFonts w:ascii="Times New Roman" w:hAnsi="Times New Roman" w:cs="Times New Roman"/>
            <w:sz w:val="24"/>
            <w:szCs w:val="24"/>
          </w:rPr>
        </w:pPr>
        <w:r w:rsidRPr="00C1627B">
          <w:rPr>
            <w:rFonts w:ascii="Times New Roman" w:hAnsi="Times New Roman" w:cs="Times New Roman"/>
            <w:sz w:val="24"/>
            <w:szCs w:val="24"/>
          </w:rPr>
          <w:fldChar w:fldCharType="begin"/>
        </w:r>
        <w:r w:rsidRPr="00C1627B">
          <w:rPr>
            <w:rFonts w:ascii="Times New Roman" w:hAnsi="Times New Roman" w:cs="Times New Roman"/>
            <w:sz w:val="24"/>
            <w:szCs w:val="24"/>
          </w:rPr>
          <w:instrText>PAGE   \* MERGEFORMAT</w:instrText>
        </w:r>
        <w:r w:rsidRPr="00C1627B">
          <w:rPr>
            <w:rFonts w:ascii="Times New Roman" w:hAnsi="Times New Roman" w:cs="Times New Roman"/>
            <w:sz w:val="24"/>
            <w:szCs w:val="24"/>
          </w:rPr>
          <w:fldChar w:fldCharType="separate"/>
        </w:r>
        <w:r w:rsidR="00C1627B">
          <w:rPr>
            <w:rFonts w:ascii="Times New Roman" w:hAnsi="Times New Roman" w:cs="Times New Roman"/>
            <w:noProof/>
            <w:sz w:val="24"/>
            <w:szCs w:val="24"/>
          </w:rPr>
          <w:t>8</w:t>
        </w:r>
        <w:r w:rsidRPr="00C1627B">
          <w:rPr>
            <w:rFonts w:ascii="Times New Roman" w:hAnsi="Times New Roman" w:cs="Times New Roman"/>
            <w:sz w:val="24"/>
            <w:szCs w:val="24"/>
          </w:rPr>
          <w:fldChar w:fldCharType="end"/>
        </w:r>
      </w:p>
    </w:sdtContent>
  </w:sdt>
  <w:p w:rsidR="00F8250B" w:rsidRDefault="00F8250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AAB"/>
    <w:rsid w:val="001F79B3"/>
    <w:rsid w:val="005A192D"/>
    <w:rsid w:val="00744BE0"/>
    <w:rsid w:val="007D2CC6"/>
    <w:rsid w:val="00874325"/>
    <w:rsid w:val="009C0AAB"/>
    <w:rsid w:val="00C1627B"/>
    <w:rsid w:val="00F82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2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2CC6"/>
    <w:rPr>
      <w:rFonts w:ascii="Tahoma" w:hAnsi="Tahoma" w:cs="Tahoma"/>
      <w:sz w:val="16"/>
      <w:szCs w:val="16"/>
    </w:rPr>
  </w:style>
  <w:style w:type="paragraph" w:styleId="a5">
    <w:name w:val="header"/>
    <w:basedOn w:val="a"/>
    <w:link w:val="a6"/>
    <w:uiPriority w:val="99"/>
    <w:unhideWhenUsed/>
    <w:rsid w:val="00F825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50B"/>
  </w:style>
  <w:style w:type="paragraph" w:styleId="a7">
    <w:name w:val="footer"/>
    <w:basedOn w:val="a"/>
    <w:link w:val="a8"/>
    <w:uiPriority w:val="99"/>
    <w:unhideWhenUsed/>
    <w:rsid w:val="00F825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5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2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2CC6"/>
    <w:rPr>
      <w:rFonts w:ascii="Tahoma" w:hAnsi="Tahoma" w:cs="Tahoma"/>
      <w:sz w:val="16"/>
      <w:szCs w:val="16"/>
    </w:rPr>
  </w:style>
  <w:style w:type="paragraph" w:styleId="a5">
    <w:name w:val="header"/>
    <w:basedOn w:val="a"/>
    <w:link w:val="a6"/>
    <w:uiPriority w:val="99"/>
    <w:unhideWhenUsed/>
    <w:rsid w:val="00F825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50B"/>
  </w:style>
  <w:style w:type="paragraph" w:styleId="a7">
    <w:name w:val="footer"/>
    <w:basedOn w:val="a"/>
    <w:link w:val="a8"/>
    <w:uiPriority w:val="99"/>
    <w:unhideWhenUsed/>
    <w:rsid w:val="00F825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D6049375F368B298542D623140C5F856CDC251AFC2084EA7058952B7EF9C294D6BF5D40635F161ADB522C8DB99E62BF97E3F1DFCD1D481750vBE" TargetMode="External"/><Relationship Id="rId13" Type="http://schemas.openxmlformats.org/officeDocument/2006/relationships/hyperlink" Target="consultantplus://offline/ref=0D6049375F368B298542C82E026001896EDF7213FF2989BF2C0D937C21A9C4C196FF5B15201A181CDF5978DDFCC03BEED1A8FDDED10149141498B3A650v8E" TargetMode="External"/><Relationship Id="rId18" Type="http://schemas.openxmlformats.org/officeDocument/2006/relationships/hyperlink" Target="consultantplus://offline/ref=0D6049375F368B298542C82E026001896EDF7213FF2D8AB52405937C21A9C4C196FF5B15201A181CDF5D7FDBFBC03BEED1A8FDDED10149141498B3A650v8E"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0D6049375F368B298542C82E026001896EDF7213FF2D89B92A09937C21A9C4C196FF5B15201A181CDF597DD8F5C03BEED1A8FDDED10149141498B3A650v8E" TargetMode="External"/><Relationship Id="rId7" Type="http://schemas.openxmlformats.org/officeDocument/2006/relationships/hyperlink" Target="consultantplus://offline/ref=0D6049375F368B298542D623140C5F856CDC251AFC2084EA7058952B7EF9C294D6BF5D40635F161CDF522C8DB99E62BF97E3F1DFCD1D481750vBE" TargetMode="External"/><Relationship Id="rId12" Type="http://schemas.openxmlformats.org/officeDocument/2006/relationships/hyperlink" Target="consultantplus://offline/ref=0D6049375F368B298542D623140C5F856CDC251AFC2084EA7058952B7EF9C294D6BF5D40635F1614DA522C8DB99E62BF97E3F1DFCD1D481750vBE" TargetMode="External"/><Relationship Id="rId17" Type="http://schemas.openxmlformats.org/officeDocument/2006/relationships/hyperlink" Target="consultantplus://offline/ref=0D6049375F368B298542C82E026001896EDF7213FF2D8EBA2B0C937C21A9C4C196FF5B15201A181CDF5978DEFCC03BEED1A8FDDED10149141498B3A650v8E" TargetMode="External"/><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consultantplus://offline/ref=0D6049375F368B298542D623140C5F856CD1241EFC2E84EA7058952B7EF9C294C4BF054C635C0B1CDE477ADCFF5CvAE" TargetMode="External"/><Relationship Id="rId20" Type="http://schemas.openxmlformats.org/officeDocument/2006/relationships/hyperlink" Target="consultantplus://offline/ref=0D6049375F368B298542C82E026001896EDF7213FF2A87BD2905937C21A9C4C196FF5B15201A181CDF5978DDFDC03BEED1A8FDDED10149141498B3A650v8E"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0D6049375F368B298542D623140C5F856CDC251AFC2084EA7058952B7EF9C294D6BF5D40635F161AD8522C8DB99E62BF97E3F1DFCD1D481750vBE" TargetMode="External"/><Relationship Id="rId24" Type="http://schemas.openxmlformats.org/officeDocument/2006/relationships/hyperlink" Target="consultantplus://offline/ref=0D6049375F368B298542C82E026001896EDF7213FF2D89B92A09937C21A9C4C196FF5B15201A181CDF5A71D8FEC03BEED1A8FDDED10149141498B3A650v8E" TargetMode="External"/><Relationship Id="rId5" Type="http://schemas.openxmlformats.org/officeDocument/2006/relationships/footnotes" Target="footnotes.xml"/><Relationship Id="rId15" Type="http://schemas.openxmlformats.org/officeDocument/2006/relationships/hyperlink" Target="consultantplus://offline/ref=0D6049375F368B298542C82E026001896EDF7213FF2D8EBA2B0C937C21A9C4C196FF5B15201A181CDF5978DEFCC03BEED1A8FDDED10149141498B3A650v8E" TargetMode="External"/><Relationship Id="rId23" Type="http://schemas.openxmlformats.org/officeDocument/2006/relationships/hyperlink" Target="consultantplus://offline/ref=0D6049375F368B298542C82E026001896EDF7213FF2D89B92A09937C21A9C4C196FF5B15201A181CDF597BDDF9C03BEED1A8FDDED10149141498B3A650v8E" TargetMode="External"/><Relationship Id="rId10" Type="http://schemas.openxmlformats.org/officeDocument/2006/relationships/hyperlink" Target="consultantplus://offline/ref=0D6049375F368B298542D623140C5F856CDC251AFC2084EA7058952B7EF9C294D6BF5D40635F161AD9522C8DB99E62BF97E3F1DFCD1D481750vBE" TargetMode="External"/><Relationship Id="rId19" Type="http://schemas.openxmlformats.org/officeDocument/2006/relationships/hyperlink" Target="consultantplus://offline/ref=0D6049375F368B298542C82E026001896EDF7213FF2989BF2C0D937C21A9C4C196FF5B15201A181CDF5978DDFCC03BEED1A8FDDED10149141498B3A650v8E" TargetMode="External"/><Relationship Id="rId4" Type="http://schemas.openxmlformats.org/officeDocument/2006/relationships/webSettings" Target="webSettings.xml"/><Relationship Id="rId9" Type="http://schemas.openxmlformats.org/officeDocument/2006/relationships/hyperlink" Target="consultantplus://offline/ref=0D6049375F368B298542D623140C5F856CDC251AFC2084EA7058952B7EF9C294D6BF5D40635F161ADA522C8DB99E62BF97E3F1DFCD1D481750vBE" TargetMode="External"/><Relationship Id="rId14" Type="http://schemas.openxmlformats.org/officeDocument/2006/relationships/hyperlink" Target="consultantplus://offline/ref=0D6049375F368B298542C82E026001896EDF7213FF2A87BD2905937C21A9C4C196FF5B15201A181CDF5978DDFDC03BEED1A8FDDED10149141498B3A650v8E" TargetMode="External"/><Relationship Id="rId22" Type="http://schemas.openxmlformats.org/officeDocument/2006/relationships/hyperlink" Target="consultantplus://offline/ref=0D6049375F368B298542C82E026001896EDF7213FF2D89B92A09937C21A9C4C196FF5B15201A181CDF5871DBF4C03BEED1A8FDDED10149141498B3A650v8E"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6234</Words>
  <Characters>35534</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Михалева Н.В.</dc:creator>
  <cp:lastModifiedBy>Михалева Н.В.</cp:lastModifiedBy>
  <cp:revision>3</cp:revision>
  <cp:lastPrinted>2021-11-02T04:51:00Z</cp:lastPrinted>
  <dcterms:created xsi:type="dcterms:W3CDTF">2021-11-02T04:52:00Z</dcterms:created>
  <dcterms:modified xsi:type="dcterms:W3CDTF">2021-11-05T02:14:00Z</dcterms:modified>
</cp:coreProperties>
</file>